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0671" w14:textId="77777777" w:rsidR="00970067" w:rsidRDefault="00970067" w:rsidP="009700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CD63 </w:t>
      </w:r>
      <w:proofErr w:type="spellStart"/>
      <w:r>
        <w:rPr>
          <w:b/>
          <w:sz w:val="26"/>
          <w:szCs w:val="26"/>
        </w:rPr>
        <w:t>Flow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Antibody</w:t>
      </w:r>
      <w:proofErr w:type="spellEnd"/>
      <w:r>
        <w:rPr>
          <w:b/>
          <w:sz w:val="26"/>
          <w:szCs w:val="26"/>
        </w:rPr>
        <w:t xml:space="preserve"> Teknik Şartnamesi</w:t>
      </w:r>
    </w:p>
    <w:p w14:paraId="07C0F193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Antikor insan (hu)’ da çalışmaya uygun nitelikte olmalıdır.</w:t>
      </w:r>
    </w:p>
    <w:p w14:paraId="100043AF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Mouse IgG1 </w:t>
      </w:r>
      <w:proofErr w:type="spellStart"/>
      <w:r>
        <w:rPr>
          <w:sz w:val="23"/>
          <w:szCs w:val="23"/>
        </w:rPr>
        <w:t>izotipinde</w:t>
      </w:r>
      <w:proofErr w:type="spellEnd"/>
      <w:r>
        <w:rPr>
          <w:sz w:val="23"/>
          <w:szCs w:val="23"/>
        </w:rPr>
        <w:t xml:space="preserve"> , Mouse </w:t>
      </w:r>
      <w:proofErr w:type="spellStart"/>
      <w:r>
        <w:rPr>
          <w:sz w:val="23"/>
          <w:szCs w:val="23"/>
        </w:rPr>
        <w:t>monoclonal</w:t>
      </w:r>
      <w:proofErr w:type="spellEnd"/>
      <w:r>
        <w:rPr>
          <w:sz w:val="23"/>
          <w:szCs w:val="23"/>
        </w:rPr>
        <w:t xml:space="preserve"> olmalıdır.</w:t>
      </w:r>
    </w:p>
    <w:p w14:paraId="75315BA6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Flow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cytometre</w:t>
      </w:r>
      <w:proofErr w:type="spellEnd"/>
      <w:r>
        <w:rPr>
          <w:sz w:val="23"/>
          <w:szCs w:val="23"/>
        </w:rPr>
        <w:t xml:space="preserve"> çalışmasında kullanılacaktır.</w:t>
      </w:r>
    </w:p>
    <w:p w14:paraId="0195EFA9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FITC işaretli olup B </w:t>
      </w:r>
      <w:proofErr w:type="spellStart"/>
      <w:r>
        <w:rPr>
          <w:sz w:val="23"/>
          <w:szCs w:val="23"/>
        </w:rPr>
        <w:t>cells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Endothelial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cells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Fibroblasts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Macrophages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Monocytes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Osteoclasts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Platelets</w:t>
      </w:r>
      <w:proofErr w:type="spellEnd"/>
      <w:r>
        <w:rPr>
          <w:sz w:val="23"/>
          <w:szCs w:val="23"/>
        </w:rPr>
        <w:t xml:space="preserve"> hücre </w:t>
      </w:r>
      <w:proofErr w:type="spellStart"/>
      <w:r>
        <w:rPr>
          <w:sz w:val="23"/>
          <w:szCs w:val="23"/>
        </w:rPr>
        <w:t>lizatları</w:t>
      </w:r>
      <w:proofErr w:type="spellEnd"/>
      <w:r>
        <w:rPr>
          <w:sz w:val="23"/>
          <w:szCs w:val="23"/>
        </w:rPr>
        <w:t xml:space="preserve"> için uygun olmalıdır.</w:t>
      </w:r>
    </w:p>
    <w:p w14:paraId="7017DFB6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En az 50 test yetecek miktarda olmalıdır.</w:t>
      </w:r>
    </w:p>
    <w:p w14:paraId="5EEE4799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CD63, LIMP, LAMP-3, gp55 ve </w:t>
      </w:r>
      <w:proofErr w:type="spellStart"/>
      <w:r>
        <w:rPr>
          <w:sz w:val="23"/>
          <w:szCs w:val="23"/>
        </w:rPr>
        <w:t>melanomla</w:t>
      </w:r>
      <w:proofErr w:type="spellEnd"/>
      <w:r>
        <w:rPr>
          <w:sz w:val="23"/>
          <w:szCs w:val="23"/>
        </w:rPr>
        <w:t xml:space="preserve"> ilişkili antijen (ME491) olarak da bilinen 53 </w:t>
      </w:r>
      <w:proofErr w:type="spellStart"/>
      <w:r>
        <w:rPr>
          <w:sz w:val="23"/>
          <w:szCs w:val="23"/>
        </w:rPr>
        <w:t>kD</w:t>
      </w:r>
      <w:proofErr w:type="spellEnd"/>
      <w:r>
        <w:rPr>
          <w:sz w:val="23"/>
          <w:szCs w:val="23"/>
        </w:rPr>
        <w:t xml:space="preserve"> tip III bir lizozomal glikoprotein olmalıdır. Trombosit aktivasyonunda rol oynayabileceği ve bir transmembran adaptör proteini olarak işlev görebilmelidir.</w:t>
      </w:r>
    </w:p>
    <w:p w14:paraId="763D8EF9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CD63, aktive edilmiş trombositler, monositler/makrofajlar, endotel, fibroblastlar, osteoklastlar ve düz kas hücrelerinde eksprese edilen </w:t>
      </w:r>
      <w:proofErr w:type="spellStart"/>
      <w:r>
        <w:rPr>
          <w:sz w:val="23"/>
          <w:szCs w:val="23"/>
        </w:rPr>
        <w:t>tetraspan</w:t>
      </w:r>
      <w:proofErr w:type="spellEnd"/>
      <w:r>
        <w:rPr>
          <w:sz w:val="23"/>
          <w:szCs w:val="23"/>
        </w:rPr>
        <w:t xml:space="preserve"> transmembran süper ailesinin (TM4SF) proteinidir.</w:t>
      </w:r>
    </w:p>
    <w:p w14:paraId="32A2D0DB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+4 de soğuk zincir de taşınıp teslim edilmeli, asla dondurulmamalıdır.</w:t>
      </w:r>
    </w:p>
    <w:p w14:paraId="2B3338B4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Flow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sitometrik</w:t>
      </w:r>
      <w:proofErr w:type="spellEnd"/>
      <w:r>
        <w:rPr>
          <w:sz w:val="23"/>
          <w:szCs w:val="23"/>
        </w:rPr>
        <w:t xml:space="preserve"> boyama için bu reaktifin önerilen kullanımı 100 µl boyama hacminde milyon hücre başına 5 µl veya 100 µl,  tam kan başına 5 µl'dir.</w:t>
      </w:r>
    </w:p>
    <w:p w14:paraId="67130E61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Teklif verilecek markanın uluslar arası makalelerde en az 10 yayında kullanılmış olmalıdır.</w:t>
      </w:r>
    </w:p>
    <w:p w14:paraId="611B99E5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Kalite kontrol belgesi ile birlikte teslim edilecek; herhangi bir problem yaşanması durumunda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sorumlusunun istediği bir markadan ücretsiz değişim sağlanacaktır.</w:t>
      </w:r>
    </w:p>
    <w:p w14:paraId="7AEBCD4A" w14:textId="77777777" w:rsidR="00970067" w:rsidRDefault="00970067" w:rsidP="00970067">
      <w:pPr>
        <w:pStyle w:val="ListeParagraf"/>
        <w:numPr>
          <w:ilvl w:val="0"/>
          <w:numId w:val="1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Uzak doğu menşeli (Çin, Kore </w:t>
      </w:r>
      <w:proofErr w:type="spellStart"/>
      <w:r>
        <w:rPr>
          <w:sz w:val="23"/>
          <w:szCs w:val="23"/>
        </w:rPr>
        <w:t>vs</w:t>
      </w:r>
      <w:proofErr w:type="spellEnd"/>
      <w:r>
        <w:rPr>
          <w:sz w:val="23"/>
          <w:szCs w:val="23"/>
        </w:rPr>
        <w:t xml:space="preserve">) markalar istenmemektedir.  </w:t>
      </w:r>
    </w:p>
    <w:p w14:paraId="432F8DB0" w14:textId="77777777" w:rsidR="00970067" w:rsidRDefault="00970067" w:rsidP="00970067">
      <w:pPr>
        <w:spacing w:line="360" w:lineRule="auto"/>
        <w:jc w:val="both"/>
        <w:rPr>
          <w:sz w:val="23"/>
          <w:szCs w:val="23"/>
        </w:rPr>
      </w:pPr>
    </w:p>
    <w:p w14:paraId="125B71E1" w14:textId="77777777" w:rsidR="00970067" w:rsidRDefault="00970067" w:rsidP="009700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Flow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Antibody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İzotip</w:t>
      </w:r>
      <w:proofErr w:type="spellEnd"/>
      <w:r>
        <w:rPr>
          <w:b/>
          <w:sz w:val="26"/>
          <w:szCs w:val="26"/>
        </w:rPr>
        <w:t xml:space="preserve"> Kontrol Teknik Şartnamesi</w:t>
      </w:r>
    </w:p>
    <w:p w14:paraId="592C8F84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Antikor insan (hu)’ da çalışmaya uygun nitelikte olmalıdır.</w:t>
      </w:r>
    </w:p>
    <w:p w14:paraId="1D8A9F6F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Mouse IgG1 </w:t>
      </w:r>
      <w:proofErr w:type="spellStart"/>
      <w:r>
        <w:rPr>
          <w:sz w:val="23"/>
          <w:szCs w:val="23"/>
        </w:rPr>
        <w:t>izotipinde</w:t>
      </w:r>
      <w:proofErr w:type="spellEnd"/>
      <w:r>
        <w:rPr>
          <w:sz w:val="23"/>
          <w:szCs w:val="23"/>
        </w:rPr>
        <w:t xml:space="preserve"> , Mouse </w:t>
      </w:r>
      <w:proofErr w:type="spellStart"/>
      <w:r>
        <w:rPr>
          <w:sz w:val="23"/>
          <w:szCs w:val="23"/>
        </w:rPr>
        <w:t>monoclonal</w:t>
      </w:r>
      <w:proofErr w:type="spellEnd"/>
      <w:r>
        <w:rPr>
          <w:sz w:val="23"/>
          <w:szCs w:val="23"/>
        </w:rPr>
        <w:t xml:space="preserve"> olmalıdır.</w:t>
      </w:r>
    </w:p>
    <w:p w14:paraId="6A132F0D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Flow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cytometre</w:t>
      </w:r>
      <w:proofErr w:type="spellEnd"/>
      <w:r>
        <w:rPr>
          <w:sz w:val="23"/>
          <w:szCs w:val="23"/>
        </w:rPr>
        <w:t xml:space="preserve"> çalışmasında kullanılacaktır.</w:t>
      </w:r>
    </w:p>
    <w:p w14:paraId="7D00FBBB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Projede kullanılacak olan CD63 antikorunun  </w:t>
      </w:r>
      <w:proofErr w:type="spellStart"/>
      <w:r>
        <w:rPr>
          <w:sz w:val="23"/>
          <w:szCs w:val="23"/>
        </w:rPr>
        <w:t>izotip</w:t>
      </w:r>
      <w:proofErr w:type="spellEnd"/>
      <w:r>
        <w:rPr>
          <w:sz w:val="23"/>
          <w:szCs w:val="23"/>
        </w:rPr>
        <w:t xml:space="preserve"> kontrolü olarak istenmektedir.</w:t>
      </w:r>
    </w:p>
    <w:p w14:paraId="29C6385C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Primer antikorun çalışmasında kullanılacağı için en az 50 test olmalıdır.</w:t>
      </w:r>
    </w:p>
    <w:p w14:paraId="346CEBFA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MOPC-21 </w:t>
      </w:r>
      <w:proofErr w:type="spellStart"/>
      <w:r>
        <w:rPr>
          <w:sz w:val="23"/>
          <w:szCs w:val="23"/>
        </w:rPr>
        <w:t>immünoglobülinin</w:t>
      </w:r>
      <w:proofErr w:type="spellEnd"/>
      <w:r>
        <w:rPr>
          <w:sz w:val="23"/>
          <w:szCs w:val="23"/>
        </w:rPr>
        <w:t xml:space="preserve"> bilinmeyen bir özgüllüğü vardır. </w:t>
      </w:r>
    </w:p>
    <w:p w14:paraId="51A5A565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 antikor, çeşitli dinlenme, aktif, canlı ve sabit fare, sıçan ve insan dokuları üzerinde tarama sonrasında bir </w:t>
      </w:r>
      <w:proofErr w:type="spellStart"/>
      <w:r>
        <w:rPr>
          <w:sz w:val="23"/>
          <w:szCs w:val="23"/>
        </w:rPr>
        <w:t>izotip</w:t>
      </w:r>
      <w:proofErr w:type="spellEnd"/>
      <w:r>
        <w:rPr>
          <w:sz w:val="23"/>
          <w:szCs w:val="23"/>
        </w:rPr>
        <w:t xml:space="preserve"> kontrolü olarak seçildiği kalite belgesiyle gösterilmelidir.</w:t>
      </w:r>
    </w:p>
    <w:p w14:paraId="5AC6E9C8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+4 de soğuk zincir de taşınıp teslim edilmeli, asla dondurulmamalıdır.</w:t>
      </w:r>
    </w:p>
    <w:p w14:paraId="1C03928C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Teklif verilecek markanın uluslar arası makalelerde en az 10 yayında kullanılmış olmalıdır.</w:t>
      </w:r>
    </w:p>
    <w:p w14:paraId="5019C61F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Kalite kontrol belgesi ile birlikte teslim edilecek; herhangi bir problem yaşanması durumunda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sorumlusunun istediği bir markadan ücretsiz değişim sağlanacaktır.</w:t>
      </w:r>
    </w:p>
    <w:p w14:paraId="07D2751F" w14:textId="77777777" w:rsidR="00970067" w:rsidRDefault="00970067" w:rsidP="00970067">
      <w:pPr>
        <w:pStyle w:val="ListeParagraf"/>
        <w:numPr>
          <w:ilvl w:val="0"/>
          <w:numId w:val="2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Uzak doğu menşeli (Çin, Kore </w:t>
      </w:r>
      <w:proofErr w:type="spellStart"/>
      <w:r>
        <w:rPr>
          <w:sz w:val="23"/>
          <w:szCs w:val="23"/>
        </w:rPr>
        <w:t>vs</w:t>
      </w:r>
      <w:proofErr w:type="spellEnd"/>
      <w:r>
        <w:rPr>
          <w:sz w:val="23"/>
          <w:szCs w:val="23"/>
        </w:rPr>
        <w:t xml:space="preserve">) markalar istenmemektedir.  </w:t>
      </w:r>
    </w:p>
    <w:p w14:paraId="2FE3E248" w14:textId="77777777" w:rsidR="00970067" w:rsidRDefault="00970067" w:rsidP="00970067">
      <w:pPr>
        <w:spacing w:line="360" w:lineRule="auto"/>
        <w:jc w:val="both"/>
        <w:rPr>
          <w:sz w:val="23"/>
          <w:szCs w:val="23"/>
        </w:rPr>
      </w:pPr>
    </w:p>
    <w:p w14:paraId="546CAA97" w14:textId="77777777" w:rsidR="00970067" w:rsidRDefault="00970067" w:rsidP="009700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TSG101 </w:t>
      </w:r>
      <w:proofErr w:type="spellStart"/>
      <w:r>
        <w:rPr>
          <w:b/>
          <w:sz w:val="26"/>
          <w:szCs w:val="26"/>
        </w:rPr>
        <w:t>Antibody</w:t>
      </w:r>
      <w:proofErr w:type="spellEnd"/>
      <w:r>
        <w:rPr>
          <w:b/>
          <w:sz w:val="26"/>
          <w:szCs w:val="26"/>
        </w:rPr>
        <w:t xml:space="preserve"> Teknik Şartnamesi</w:t>
      </w:r>
    </w:p>
    <w:p w14:paraId="67D932CD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Antikor Human-Mouse-</w:t>
      </w:r>
      <w:proofErr w:type="spellStart"/>
      <w:r>
        <w:rPr>
          <w:sz w:val="23"/>
          <w:szCs w:val="23"/>
        </w:rPr>
        <w:t>Rat</w:t>
      </w:r>
      <w:proofErr w:type="spellEnd"/>
      <w:r>
        <w:rPr>
          <w:sz w:val="23"/>
          <w:szCs w:val="23"/>
        </w:rPr>
        <w:t xml:space="preserve"> da çalışmaya uygun nitelikte olmalıdır.</w:t>
      </w:r>
    </w:p>
    <w:p w14:paraId="127EDB69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Rabbit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polyclonal</w:t>
      </w:r>
      <w:proofErr w:type="spellEnd"/>
      <w:r>
        <w:rPr>
          <w:sz w:val="23"/>
          <w:szCs w:val="23"/>
        </w:rPr>
        <w:t xml:space="preserve"> ve 100ul hacimde olmalıdır.</w:t>
      </w:r>
    </w:p>
    <w:p w14:paraId="27B40511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WestrnBlot</w:t>
      </w:r>
      <w:proofErr w:type="spellEnd"/>
      <w:r>
        <w:rPr>
          <w:sz w:val="23"/>
          <w:szCs w:val="23"/>
        </w:rPr>
        <w:t>, IF, IHC(P) ve ELISA çalışmalarında kullanılmaya uygun olmalıdır.</w:t>
      </w:r>
    </w:p>
    <w:p w14:paraId="40332050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1mg/ml konsantrede gelmelidir.</w:t>
      </w:r>
    </w:p>
    <w:p w14:paraId="046B6D51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TSG101 tarafından kodlanan protein (tümör duyarlılığı 101), </w:t>
      </w:r>
      <w:proofErr w:type="spellStart"/>
      <w:r>
        <w:rPr>
          <w:sz w:val="23"/>
          <w:szCs w:val="23"/>
        </w:rPr>
        <w:t>ubikuitin</w:t>
      </w:r>
      <w:proofErr w:type="spellEnd"/>
      <w:r>
        <w:rPr>
          <w:sz w:val="23"/>
          <w:szCs w:val="23"/>
        </w:rPr>
        <w:t xml:space="preserve"> konjuge enzimlerin görünüşte aktif olmayan bir homolog grubuna ait olmalıdır.</w:t>
      </w:r>
    </w:p>
    <w:p w14:paraId="284D5E25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 ürünü, tümör oluşumunda rol oynayan sitozolik bir </w:t>
      </w:r>
      <w:proofErr w:type="spellStart"/>
      <w:r>
        <w:rPr>
          <w:sz w:val="23"/>
          <w:szCs w:val="23"/>
        </w:rPr>
        <w:t>fosfoprotein</w:t>
      </w:r>
      <w:proofErr w:type="spellEnd"/>
      <w:r>
        <w:rPr>
          <w:sz w:val="23"/>
          <w:szCs w:val="23"/>
        </w:rPr>
        <w:t xml:space="preserve"> olan </w:t>
      </w:r>
      <w:proofErr w:type="spellStart"/>
      <w:r>
        <w:rPr>
          <w:sz w:val="23"/>
          <w:szCs w:val="23"/>
        </w:rPr>
        <w:t>stathmin</w:t>
      </w:r>
      <w:proofErr w:type="spellEnd"/>
      <w:r>
        <w:rPr>
          <w:sz w:val="23"/>
          <w:szCs w:val="23"/>
        </w:rPr>
        <w:t xml:space="preserve"> ile etkileşime giren sarmal-sarmal bir alan içermelidir.</w:t>
      </w:r>
    </w:p>
    <w:p w14:paraId="3B21813E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Protein, hücre büyümesinde ve farklılaşmasında rol oynayabilir ve negatif büyüme düzenleyicisi olarak görev yapabilmelidir.</w:t>
      </w:r>
    </w:p>
    <w:p w14:paraId="0F67EC29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-20 soğuk zincir de taşınıp teslim edilmelidir.</w:t>
      </w:r>
    </w:p>
    <w:p w14:paraId="20DBA30F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Western de 1:500- 1:2000 </w:t>
      </w:r>
      <w:proofErr w:type="spellStart"/>
      <w:r>
        <w:rPr>
          <w:sz w:val="23"/>
          <w:szCs w:val="23"/>
        </w:rPr>
        <w:t>dilisyon</w:t>
      </w:r>
      <w:proofErr w:type="spellEnd"/>
      <w:r>
        <w:rPr>
          <w:sz w:val="23"/>
          <w:szCs w:val="23"/>
        </w:rPr>
        <w:t xml:space="preserve"> oranında çalışmalıdır.</w:t>
      </w:r>
    </w:p>
    <w:p w14:paraId="250B38D6" w14:textId="77777777" w:rsidR="00970067" w:rsidRDefault="00970067" w:rsidP="00970067">
      <w:pPr>
        <w:pStyle w:val="ListeParagraf"/>
        <w:numPr>
          <w:ilvl w:val="0"/>
          <w:numId w:val="3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Çalışmada bir problem yaşanırsa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sorumlusu tarafından istenilen bir markadan ücretsiz değişim sağlanmalıdır.</w:t>
      </w:r>
    </w:p>
    <w:p w14:paraId="3A904109" w14:textId="77777777" w:rsidR="00970067" w:rsidRDefault="00970067" w:rsidP="009700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Trtpsin</w:t>
      </w:r>
      <w:proofErr w:type="spellEnd"/>
      <w:r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</w:rPr>
        <w:t>Lys</w:t>
      </w:r>
      <w:proofErr w:type="spellEnd"/>
      <w:r>
        <w:rPr>
          <w:b/>
          <w:sz w:val="26"/>
          <w:szCs w:val="26"/>
        </w:rPr>
        <w:t xml:space="preserve"> C-</w:t>
      </w:r>
      <w:proofErr w:type="spellStart"/>
      <w:r>
        <w:rPr>
          <w:b/>
          <w:sz w:val="26"/>
          <w:szCs w:val="26"/>
        </w:rPr>
        <w:t>protease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Mix</w:t>
      </w:r>
      <w:proofErr w:type="spellEnd"/>
      <w:r>
        <w:rPr>
          <w:b/>
          <w:sz w:val="26"/>
          <w:szCs w:val="26"/>
        </w:rPr>
        <w:t xml:space="preserve"> Teknik Şartnamesi</w:t>
      </w:r>
    </w:p>
    <w:p w14:paraId="4B1BC133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</w:pPr>
      <w:proofErr w:type="spellStart"/>
      <w:r>
        <w:rPr>
          <w:sz w:val="23"/>
          <w:szCs w:val="23"/>
        </w:rPr>
        <w:t>Mass</w:t>
      </w:r>
      <w:proofErr w:type="spellEnd"/>
      <w:r>
        <w:rPr>
          <w:sz w:val="23"/>
          <w:szCs w:val="23"/>
        </w:rPr>
        <w:t xml:space="preserve"> Spektrofotometre çalışmaları için uygun olmalıdır.</w:t>
      </w:r>
    </w:p>
    <w:p w14:paraId="02CF8D95" w14:textId="3FE91289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</w:pPr>
      <w:r>
        <w:rPr>
          <w:sz w:val="23"/>
          <w:szCs w:val="23"/>
        </w:rPr>
        <w:t>En az 20ug olarak teslim edilmel</w:t>
      </w:r>
      <w:r w:rsidR="007119B7">
        <w:rPr>
          <w:sz w:val="23"/>
          <w:szCs w:val="23"/>
        </w:rPr>
        <w:t>i</w:t>
      </w:r>
      <w:r>
        <w:rPr>
          <w:sz w:val="23"/>
          <w:szCs w:val="23"/>
        </w:rPr>
        <w:t>dir.</w:t>
      </w:r>
    </w:p>
    <w:p w14:paraId="6F774E9D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</w:pPr>
      <w:r>
        <w:rPr>
          <w:sz w:val="23"/>
          <w:szCs w:val="23"/>
        </w:rPr>
        <w:t>Katı formda olup soğuk zincir ile taşınımı sağlanmalıdır.</w:t>
      </w:r>
    </w:p>
    <w:p w14:paraId="4F0FD3CC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Proteinlerin sindirim verimliliğini artırmak için optimize edilmiş, liyofilize bir </w:t>
      </w:r>
      <w:proofErr w:type="spellStart"/>
      <w:r>
        <w:rPr>
          <w:sz w:val="23"/>
          <w:szCs w:val="23"/>
        </w:rPr>
        <w:t>trypsin</w:t>
      </w:r>
      <w:proofErr w:type="spellEnd"/>
      <w:r>
        <w:rPr>
          <w:sz w:val="23"/>
          <w:szCs w:val="23"/>
        </w:rPr>
        <w:t xml:space="preserve"> ve </w:t>
      </w:r>
      <w:proofErr w:type="spellStart"/>
      <w:r>
        <w:rPr>
          <w:sz w:val="23"/>
          <w:szCs w:val="23"/>
        </w:rPr>
        <w:t>LysC</w:t>
      </w:r>
      <w:proofErr w:type="spellEnd"/>
      <w:r>
        <w:rPr>
          <w:sz w:val="23"/>
          <w:szCs w:val="23"/>
        </w:rPr>
        <w:t xml:space="preserve"> proteaz karışımı olmalıdır.</w:t>
      </w:r>
    </w:p>
    <w:p w14:paraId="2D3D2622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Tripsin rutin olarak protein sindirimi için kullanılmasına rağmen, bu proteaz tek başına </w:t>
      </w:r>
      <w:proofErr w:type="spellStart"/>
      <w:r>
        <w:rPr>
          <w:sz w:val="23"/>
          <w:szCs w:val="23"/>
        </w:rPr>
        <w:t>lizin</w:t>
      </w:r>
      <w:proofErr w:type="spellEnd"/>
      <w:r>
        <w:rPr>
          <w:sz w:val="23"/>
          <w:szCs w:val="23"/>
        </w:rPr>
        <w:t xml:space="preserve"> ve </w:t>
      </w:r>
      <w:proofErr w:type="spellStart"/>
      <w:r>
        <w:rPr>
          <w:sz w:val="23"/>
          <w:szCs w:val="23"/>
        </w:rPr>
        <w:t>arginin</w:t>
      </w:r>
      <w:proofErr w:type="spellEnd"/>
      <w:r>
        <w:rPr>
          <w:sz w:val="23"/>
          <w:szCs w:val="23"/>
        </w:rPr>
        <w:t xml:space="preserve"> kalıntılarının karboksil ucundaki proteinleri tamamen sindirmek için yeterli olmamalıdır.</w:t>
      </w:r>
    </w:p>
    <w:p w14:paraId="1DECA4D8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Sindirim, enzim-protein oranına bağlı olarak 1,5-3 saat gibi kısa bir sürede veya bir geceye kadar tamamlanabilir özellikte </w:t>
      </w:r>
      <w:proofErr w:type="spellStart"/>
      <w:r>
        <w:rPr>
          <w:sz w:val="23"/>
          <w:szCs w:val="23"/>
        </w:rPr>
        <w:t>olmaldıır</w:t>
      </w:r>
      <w:proofErr w:type="spellEnd"/>
      <w:r>
        <w:rPr>
          <w:sz w:val="23"/>
          <w:szCs w:val="23"/>
        </w:rPr>
        <w:t>.</w:t>
      </w:r>
    </w:p>
    <w:p w14:paraId="1A7CB8AE" w14:textId="77777777" w:rsidR="00970067" w:rsidRDefault="00970067" w:rsidP="00970067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Çalışmada bir problem yaşanırsa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sorumlusu tarafından istenilen bir markadan ücretsiz değişim sağlanmalıdır.</w:t>
      </w:r>
    </w:p>
    <w:p w14:paraId="26F108D6" w14:textId="77777777" w:rsidR="0046322A" w:rsidRDefault="0046322A"/>
    <w:sectPr w:rsidR="0046322A" w:rsidSect="0097006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016"/>
    <w:multiLevelType w:val="hybridMultilevel"/>
    <w:tmpl w:val="4F0CDD8C"/>
    <w:lvl w:ilvl="0" w:tplc="DAE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4A32"/>
    <w:multiLevelType w:val="hybridMultilevel"/>
    <w:tmpl w:val="4F0CDD8C"/>
    <w:lvl w:ilvl="0" w:tplc="DAE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64B6"/>
    <w:multiLevelType w:val="hybridMultilevel"/>
    <w:tmpl w:val="4F0CDD8C"/>
    <w:lvl w:ilvl="0" w:tplc="DAE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3262B"/>
    <w:multiLevelType w:val="hybridMultilevel"/>
    <w:tmpl w:val="4F0CDD8C"/>
    <w:lvl w:ilvl="0" w:tplc="DAE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2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508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479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640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67"/>
    <w:rsid w:val="00016573"/>
    <w:rsid w:val="00087369"/>
    <w:rsid w:val="0046322A"/>
    <w:rsid w:val="007119B7"/>
    <w:rsid w:val="009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2493"/>
  <w15:chartTrackingRefBased/>
  <w15:docId w15:val="{D46BB4EE-7084-42EF-BBE3-FCC0F1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67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7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00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00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00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00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00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00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00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00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00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00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0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2</cp:revision>
  <dcterms:created xsi:type="dcterms:W3CDTF">2024-09-23T09:07:00Z</dcterms:created>
  <dcterms:modified xsi:type="dcterms:W3CDTF">2024-09-23T09:09:00Z</dcterms:modified>
</cp:coreProperties>
</file>